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B70D" w14:textId="04F00E2A" w:rsidR="00A55DA0" w:rsidRDefault="00207969">
      <w:pPr>
        <w:rPr>
          <w:rFonts w:cstheme="minorHAnsi"/>
          <w:sz w:val="28"/>
          <w:szCs w:val="28"/>
          <w:u w:val="single"/>
        </w:rPr>
      </w:pPr>
      <w:r w:rsidRPr="00207969">
        <w:rPr>
          <w:rFonts w:cstheme="minorHAnsi"/>
          <w:sz w:val="28"/>
          <w:szCs w:val="28"/>
          <w:u w:val="single"/>
        </w:rPr>
        <w:t>Contextual information for the data excel for the MRes “Detecting and defining immunity to human cytomegalovirus (HCMV); combining QuantiFERON-CMV and flow cytometry”</w:t>
      </w:r>
    </w:p>
    <w:p w14:paraId="4D247E08" w14:textId="77777777" w:rsidR="00207969" w:rsidRDefault="00207969">
      <w:pPr>
        <w:rPr>
          <w:rFonts w:cstheme="minorHAnsi"/>
          <w:sz w:val="28"/>
          <w:szCs w:val="28"/>
          <w:u w:val="single"/>
        </w:rPr>
      </w:pPr>
    </w:p>
    <w:p w14:paraId="1BE5F84F" w14:textId="625E918F" w:rsidR="002F1189" w:rsidRDefault="00153BAB" w:rsidP="000E5D6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</w:t>
      </w:r>
      <w:r w:rsidR="00E47DC6">
        <w:rPr>
          <w:rFonts w:cstheme="minorHAnsi"/>
          <w:sz w:val="24"/>
          <w:szCs w:val="24"/>
        </w:rPr>
        <w:t>row represents all data drawn from the QuantiFERON-CMV assay, antibody assays and flow cytometry data for one healthy volunteer</w:t>
      </w:r>
    </w:p>
    <w:p w14:paraId="655C3E48" w14:textId="019C8817" w:rsidR="0054472F" w:rsidRDefault="0054472F" w:rsidP="000E5D6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Columns B-H are results obtained at the University Hospital Southampton laboratory for CMV antibody and QuantiFERON-CMV assays. Columns I-</w:t>
      </w:r>
      <w:r w:rsidR="00CE39EE">
        <w:rPr>
          <w:rFonts w:cstheme="minorHAnsi"/>
          <w:sz w:val="24"/>
          <w:szCs w:val="24"/>
        </w:rPr>
        <w:t>BI are data obtained from the flow cytomet</w:t>
      </w:r>
      <w:r w:rsidR="004B0ECE">
        <w:rPr>
          <w:rFonts w:cstheme="minorHAnsi"/>
          <w:sz w:val="24"/>
          <w:szCs w:val="24"/>
        </w:rPr>
        <w:t>ry assay</w:t>
      </w:r>
      <w:r w:rsidR="00CE39EE">
        <w:rPr>
          <w:rFonts w:cstheme="minorHAnsi"/>
          <w:sz w:val="24"/>
          <w:szCs w:val="24"/>
        </w:rPr>
        <w:t xml:space="preserve"> at Bournemouth university </w:t>
      </w:r>
    </w:p>
    <w:p w14:paraId="52CA6997" w14:textId="73DB6D84" w:rsidR="00E47DC6" w:rsidRDefault="0073318E" w:rsidP="000E5D6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Terms </w:t>
      </w:r>
      <w:r w:rsidRPr="000E5D61">
        <w:rPr>
          <w:rFonts w:cstheme="minorHAnsi"/>
          <w:i/>
          <w:iCs/>
          <w:sz w:val="24"/>
          <w:szCs w:val="24"/>
        </w:rPr>
        <w:t>ni</w:t>
      </w:r>
      <w:r w:rsidR="000E5D61" w:rsidRPr="000E5D61">
        <w:rPr>
          <w:rFonts w:cstheme="minorHAnsi"/>
          <w:i/>
          <w:iCs/>
          <w:sz w:val="24"/>
          <w:szCs w:val="24"/>
        </w:rPr>
        <w:t>l</w:t>
      </w:r>
      <w:r>
        <w:rPr>
          <w:rFonts w:cstheme="minorHAnsi"/>
          <w:sz w:val="24"/>
          <w:szCs w:val="24"/>
        </w:rPr>
        <w:t xml:space="preserve">, </w:t>
      </w:r>
      <w:r w:rsidRPr="000E5D61">
        <w:rPr>
          <w:rFonts w:cstheme="minorHAnsi"/>
          <w:i/>
          <w:iCs/>
          <w:sz w:val="24"/>
          <w:szCs w:val="24"/>
        </w:rPr>
        <w:t>mitogen</w:t>
      </w:r>
      <w:r w:rsidR="00B17C91" w:rsidRPr="000E5D61">
        <w:rPr>
          <w:rFonts w:cstheme="minorHAnsi"/>
          <w:i/>
          <w:iCs/>
          <w:sz w:val="24"/>
          <w:szCs w:val="24"/>
        </w:rPr>
        <w:t>/</w:t>
      </w:r>
      <w:proofErr w:type="spellStart"/>
      <w:r w:rsidR="00B17C91" w:rsidRPr="000E5D61">
        <w:rPr>
          <w:rFonts w:cstheme="minorHAnsi"/>
          <w:i/>
          <w:iCs/>
          <w:sz w:val="24"/>
          <w:szCs w:val="24"/>
        </w:rPr>
        <w:t>mito</w:t>
      </w:r>
      <w:proofErr w:type="spellEnd"/>
      <w:r w:rsidR="00B17C91">
        <w:rPr>
          <w:rFonts w:cstheme="minorHAnsi"/>
          <w:sz w:val="24"/>
          <w:szCs w:val="24"/>
        </w:rPr>
        <w:t xml:space="preserve"> and </w:t>
      </w:r>
      <w:r w:rsidR="00B17C91" w:rsidRPr="000E5D61">
        <w:rPr>
          <w:rFonts w:cstheme="minorHAnsi"/>
          <w:i/>
          <w:iCs/>
          <w:sz w:val="24"/>
          <w:szCs w:val="24"/>
        </w:rPr>
        <w:t>CMV</w:t>
      </w:r>
      <w:r w:rsidR="00B17C91">
        <w:rPr>
          <w:rFonts w:cstheme="minorHAnsi"/>
          <w:sz w:val="24"/>
          <w:szCs w:val="24"/>
        </w:rPr>
        <w:t xml:space="preserve"> refer to the </w:t>
      </w:r>
      <w:r w:rsidR="000531FB">
        <w:rPr>
          <w:rFonts w:cstheme="minorHAnsi"/>
          <w:sz w:val="24"/>
          <w:szCs w:val="24"/>
        </w:rPr>
        <w:t xml:space="preserve">corresponding </w:t>
      </w:r>
      <w:r w:rsidR="00B17C91">
        <w:rPr>
          <w:rFonts w:cstheme="minorHAnsi"/>
          <w:sz w:val="24"/>
          <w:szCs w:val="24"/>
        </w:rPr>
        <w:t>test tube in the QuantiFERON-CMV kit</w:t>
      </w:r>
      <w:r w:rsidR="000531FB">
        <w:rPr>
          <w:rFonts w:cstheme="minorHAnsi"/>
          <w:sz w:val="24"/>
          <w:szCs w:val="24"/>
        </w:rPr>
        <w:t xml:space="preserve">. </w:t>
      </w:r>
      <w:r w:rsidR="000531FB">
        <w:rPr>
          <w:rFonts w:cstheme="minorHAnsi"/>
          <w:sz w:val="24"/>
          <w:szCs w:val="24"/>
        </w:rPr>
        <w:br/>
        <w:t xml:space="preserve">Nil = negative control </w:t>
      </w:r>
      <w:r w:rsidR="000531FB">
        <w:rPr>
          <w:rFonts w:cstheme="minorHAnsi"/>
          <w:sz w:val="24"/>
          <w:szCs w:val="24"/>
        </w:rPr>
        <w:br/>
        <w:t>Mitogen/</w:t>
      </w:r>
      <w:proofErr w:type="spellStart"/>
      <w:r w:rsidR="000531FB">
        <w:rPr>
          <w:rFonts w:cstheme="minorHAnsi"/>
          <w:sz w:val="24"/>
          <w:szCs w:val="24"/>
        </w:rPr>
        <w:t>mito</w:t>
      </w:r>
      <w:proofErr w:type="spellEnd"/>
      <w:r w:rsidR="000531FB">
        <w:rPr>
          <w:rFonts w:cstheme="minorHAnsi"/>
          <w:sz w:val="24"/>
          <w:szCs w:val="24"/>
        </w:rPr>
        <w:t xml:space="preserve"> = </w:t>
      </w:r>
      <w:r w:rsidR="007437BD">
        <w:rPr>
          <w:rFonts w:cstheme="minorHAnsi"/>
          <w:sz w:val="24"/>
          <w:szCs w:val="24"/>
        </w:rPr>
        <w:t xml:space="preserve">positive control, stimulating total CD8+ </w:t>
      </w:r>
      <w:r w:rsidR="008559FA">
        <w:rPr>
          <w:rFonts w:cstheme="minorHAnsi"/>
          <w:sz w:val="24"/>
          <w:szCs w:val="24"/>
        </w:rPr>
        <w:t xml:space="preserve">T cell </w:t>
      </w:r>
      <w:r w:rsidR="007437BD">
        <w:rPr>
          <w:rFonts w:cstheme="minorHAnsi"/>
          <w:sz w:val="24"/>
          <w:szCs w:val="24"/>
        </w:rPr>
        <w:t xml:space="preserve">response </w:t>
      </w:r>
      <w:r w:rsidR="007437BD">
        <w:rPr>
          <w:rFonts w:cstheme="minorHAnsi"/>
          <w:sz w:val="24"/>
          <w:szCs w:val="24"/>
        </w:rPr>
        <w:br/>
        <w:t xml:space="preserve">CMV = </w:t>
      </w:r>
      <w:r w:rsidR="008559FA">
        <w:rPr>
          <w:rFonts w:cstheme="minorHAnsi"/>
          <w:sz w:val="24"/>
          <w:szCs w:val="24"/>
        </w:rPr>
        <w:t xml:space="preserve">CMV peptides stimulating a response to the CMV-specific CD8+ T cells </w:t>
      </w:r>
    </w:p>
    <w:p w14:paraId="4CEB1339" w14:textId="608001A7" w:rsidR="008B5CDA" w:rsidRDefault="008B5CDA" w:rsidP="000E5D6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</w:t>
      </w:r>
      <w:r w:rsidR="004E09BA">
        <w:rPr>
          <w:rFonts w:cstheme="minorHAnsi"/>
          <w:i/>
          <w:iCs/>
          <w:sz w:val="24"/>
          <w:szCs w:val="24"/>
        </w:rPr>
        <w:t xml:space="preserve">liaison results </w:t>
      </w:r>
      <w:r w:rsidR="004E09BA">
        <w:rPr>
          <w:rFonts w:cstheme="minorHAnsi"/>
          <w:sz w:val="24"/>
          <w:szCs w:val="24"/>
        </w:rPr>
        <w:t>correspond to the QuantiFERON-CMV assay and are all reported in IU/</w:t>
      </w:r>
      <w:proofErr w:type="spellStart"/>
      <w:r w:rsidR="004E09BA">
        <w:rPr>
          <w:rFonts w:cstheme="minorHAnsi"/>
          <w:sz w:val="24"/>
          <w:szCs w:val="24"/>
        </w:rPr>
        <w:t>mL.</w:t>
      </w:r>
      <w:proofErr w:type="spellEnd"/>
      <w:r w:rsidR="004E09BA">
        <w:rPr>
          <w:rFonts w:cstheme="minorHAnsi"/>
          <w:sz w:val="24"/>
          <w:szCs w:val="24"/>
        </w:rPr>
        <w:t xml:space="preserve"> 10IU/mL is the upper limit of detection by Liaison </w:t>
      </w:r>
    </w:p>
    <w:p w14:paraId="0811AADA" w14:textId="222B1679" w:rsidR="000555CD" w:rsidRPr="008B5CDA" w:rsidRDefault="000555CD" w:rsidP="000E5D6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0555CD">
        <w:rPr>
          <w:rFonts w:cstheme="minorHAnsi"/>
          <w:i/>
          <w:iCs/>
          <w:sz w:val="24"/>
          <w:szCs w:val="24"/>
        </w:rPr>
        <w:t xml:space="preserve">CMV result </w:t>
      </w:r>
      <w:r w:rsidR="00454257">
        <w:rPr>
          <w:rFonts w:cstheme="minorHAnsi"/>
          <w:sz w:val="24"/>
          <w:szCs w:val="24"/>
        </w:rPr>
        <w:t xml:space="preserve">is either reactive or non-reactive, as interpreted by the manufacturers </w:t>
      </w:r>
      <w:r w:rsidR="008B5CDA">
        <w:rPr>
          <w:rFonts w:cstheme="minorHAnsi"/>
          <w:sz w:val="24"/>
          <w:szCs w:val="24"/>
        </w:rPr>
        <w:t>instruction in the methods section of the thesis</w:t>
      </w:r>
    </w:p>
    <w:p w14:paraId="179948A2" w14:textId="19D6CC63" w:rsidR="008B5CDA" w:rsidRPr="002161DC" w:rsidRDefault="005C1819" w:rsidP="000E5D61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Column </w:t>
      </w:r>
      <w:r w:rsidR="00856379">
        <w:rPr>
          <w:rFonts w:cstheme="minorHAnsi"/>
          <w:sz w:val="24"/>
          <w:szCs w:val="24"/>
        </w:rPr>
        <w:t>I</w:t>
      </w:r>
      <w:r w:rsidR="00B429A0">
        <w:rPr>
          <w:rFonts w:cstheme="minorHAnsi"/>
          <w:sz w:val="24"/>
          <w:szCs w:val="24"/>
        </w:rPr>
        <w:t xml:space="preserve"> </w:t>
      </w:r>
      <w:r w:rsidR="004B0ECE">
        <w:rPr>
          <w:rFonts w:cstheme="minorHAnsi"/>
          <w:sz w:val="24"/>
          <w:szCs w:val="24"/>
        </w:rPr>
        <w:t>is</w:t>
      </w:r>
      <w:r w:rsidR="00CB01CC">
        <w:rPr>
          <w:rFonts w:cstheme="minorHAnsi"/>
          <w:sz w:val="24"/>
          <w:szCs w:val="24"/>
        </w:rPr>
        <w:t xml:space="preserve"> the number of cells </w:t>
      </w:r>
      <w:r w:rsidR="004B0ECE">
        <w:rPr>
          <w:rFonts w:cstheme="minorHAnsi"/>
          <w:sz w:val="24"/>
          <w:szCs w:val="24"/>
        </w:rPr>
        <w:t>counted</w:t>
      </w:r>
      <w:r w:rsidR="00CB01CC">
        <w:rPr>
          <w:rFonts w:cstheme="minorHAnsi"/>
          <w:sz w:val="24"/>
          <w:szCs w:val="24"/>
        </w:rPr>
        <w:t xml:space="preserve"> following white cell separation from red cells from a whole blood sample</w:t>
      </w:r>
      <w:r w:rsidR="004B0ECE">
        <w:rPr>
          <w:rFonts w:cstheme="minorHAnsi"/>
          <w:sz w:val="24"/>
          <w:szCs w:val="24"/>
        </w:rPr>
        <w:t xml:space="preserve">. </w:t>
      </w:r>
    </w:p>
    <w:p w14:paraId="1A7A9D7F" w14:textId="33E246B9" w:rsidR="00B62812" w:rsidRPr="00B62812" w:rsidRDefault="002161DC" w:rsidP="00B6281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Column J-M interpret the </w:t>
      </w:r>
      <w:r w:rsidR="005E194E">
        <w:rPr>
          <w:rFonts w:cstheme="minorHAnsi"/>
          <w:sz w:val="24"/>
          <w:szCs w:val="24"/>
        </w:rPr>
        <w:t>data from the flow cytometer</w:t>
      </w:r>
      <w:r w:rsidR="001132B8">
        <w:rPr>
          <w:rFonts w:cstheme="minorHAnsi"/>
          <w:sz w:val="24"/>
          <w:szCs w:val="24"/>
        </w:rPr>
        <w:t>. F</w:t>
      </w:r>
      <w:r w:rsidR="005E194E">
        <w:rPr>
          <w:rFonts w:cstheme="minorHAnsi"/>
          <w:sz w:val="24"/>
          <w:szCs w:val="24"/>
        </w:rPr>
        <w:t>irst</w:t>
      </w:r>
      <w:r w:rsidR="001132B8">
        <w:rPr>
          <w:rFonts w:cstheme="minorHAnsi"/>
          <w:sz w:val="24"/>
          <w:szCs w:val="24"/>
        </w:rPr>
        <w:t>,</w:t>
      </w:r>
      <w:r w:rsidR="005E194E">
        <w:rPr>
          <w:rFonts w:cstheme="minorHAnsi"/>
          <w:sz w:val="24"/>
          <w:szCs w:val="24"/>
        </w:rPr>
        <w:t xml:space="preserve"> lymphocytes are </w:t>
      </w:r>
      <w:r w:rsidR="001132B8">
        <w:rPr>
          <w:rFonts w:cstheme="minorHAnsi"/>
          <w:sz w:val="24"/>
          <w:szCs w:val="24"/>
        </w:rPr>
        <w:t xml:space="preserve">identified and </w:t>
      </w:r>
      <w:r w:rsidR="005E194E">
        <w:rPr>
          <w:rFonts w:cstheme="minorHAnsi"/>
          <w:sz w:val="24"/>
          <w:szCs w:val="24"/>
        </w:rPr>
        <w:t xml:space="preserve">gated on the flow cytometer (column </w:t>
      </w:r>
      <w:r w:rsidR="001132B8">
        <w:rPr>
          <w:rFonts w:cstheme="minorHAnsi"/>
          <w:sz w:val="24"/>
          <w:szCs w:val="24"/>
        </w:rPr>
        <w:t xml:space="preserve">J) and the raw number of lymphocytes are calculated using the % lymphocytes (column </w:t>
      </w:r>
      <w:r w:rsidR="00260BBA">
        <w:rPr>
          <w:rFonts w:cstheme="minorHAnsi"/>
          <w:sz w:val="24"/>
          <w:szCs w:val="24"/>
        </w:rPr>
        <w:t xml:space="preserve">J) from the number of cells counted in column I. Second, single cells are identified and gated for on the flow cytometer (column </w:t>
      </w:r>
      <w:r w:rsidR="00F65BC4">
        <w:rPr>
          <w:rFonts w:cstheme="minorHAnsi"/>
          <w:sz w:val="24"/>
          <w:szCs w:val="24"/>
        </w:rPr>
        <w:t xml:space="preserve">L), and the raw number of single lymphocytes are calculated </w:t>
      </w:r>
      <w:r w:rsidR="0067380B">
        <w:rPr>
          <w:rFonts w:cstheme="minorHAnsi"/>
          <w:sz w:val="24"/>
          <w:szCs w:val="24"/>
        </w:rPr>
        <w:t>by</w:t>
      </w:r>
      <w:r w:rsidR="00F65BC4">
        <w:rPr>
          <w:rFonts w:cstheme="minorHAnsi"/>
          <w:sz w:val="24"/>
          <w:szCs w:val="24"/>
        </w:rPr>
        <w:t xml:space="preserve"> the % </w:t>
      </w:r>
      <w:r w:rsidR="00E46589">
        <w:rPr>
          <w:rFonts w:cstheme="minorHAnsi"/>
          <w:sz w:val="24"/>
          <w:szCs w:val="24"/>
        </w:rPr>
        <w:t xml:space="preserve">cells in the single gate (column L) </w:t>
      </w:r>
      <w:r w:rsidR="0067380B">
        <w:rPr>
          <w:rFonts w:cstheme="minorHAnsi"/>
          <w:sz w:val="24"/>
          <w:szCs w:val="24"/>
        </w:rPr>
        <w:t>from the number of lymphocytes (column K).</w:t>
      </w:r>
    </w:p>
    <w:p w14:paraId="00853719" w14:textId="0A7EB1C4" w:rsidR="00B62812" w:rsidRPr="006A024D" w:rsidRDefault="00B62812" w:rsidP="00B6281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Column M as the raw number of single and live lymphocytes per sample is used to work out number of cells for the remaining columns </w:t>
      </w:r>
      <w:r w:rsidR="002469A9">
        <w:rPr>
          <w:rFonts w:cstheme="minorHAnsi"/>
          <w:sz w:val="24"/>
          <w:szCs w:val="24"/>
        </w:rPr>
        <w:t xml:space="preserve">N-Q. </w:t>
      </w:r>
    </w:p>
    <w:p w14:paraId="3B2641EC" w14:textId="3F11C5A7" w:rsidR="006A024D" w:rsidRPr="002717C3" w:rsidRDefault="006A024D" w:rsidP="00B6281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Following gating of live single lymphocytes on the flow, cell subsets can then be highlighted</w:t>
      </w:r>
      <w:r w:rsidR="0093352D">
        <w:rPr>
          <w:rFonts w:cstheme="minorHAnsi"/>
          <w:sz w:val="24"/>
          <w:szCs w:val="24"/>
        </w:rPr>
        <w:t xml:space="preserve"> for the surface and intracellular markers used in this study: CD4, CD8, CD45RA, CX3CR1, CCR7 and IFN-g. </w:t>
      </w:r>
    </w:p>
    <w:p w14:paraId="162682D3" w14:textId="5BA50EFB" w:rsidR="002717C3" w:rsidRPr="006B3480" w:rsidRDefault="00CA3416" w:rsidP="00B6281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Number of CD4+ and CD8+ lymphocytes are calculated using the </w:t>
      </w:r>
      <w:r w:rsidR="002A3A92">
        <w:rPr>
          <w:rFonts w:cstheme="minorHAnsi"/>
          <w:sz w:val="24"/>
          <w:szCs w:val="24"/>
        </w:rPr>
        <w:t xml:space="preserve">% of cells (Column N + O) from the absolute number of single live cells (Column </w:t>
      </w:r>
      <w:r w:rsidR="005C4465">
        <w:rPr>
          <w:rFonts w:cstheme="minorHAnsi"/>
          <w:sz w:val="24"/>
          <w:szCs w:val="24"/>
        </w:rPr>
        <w:t xml:space="preserve">M). </w:t>
      </w:r>
    </w:p>
    <w:p w14:paraId="5A2C6AC6" w14:textId="1BE3D058" w:rsidR="006B3480" w:rsidRPr="00123859" w:rsidRDefault="006B3480" w:rsidP="00B6281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Column R to Y look at the number of either CD4+ or CD8+ cells which are also positive for intracellular marker IFN-g</w:t>
      </w:r>
      <w:r w:rsidR="00257F9E">
        <w:rPr>
          <w:rFonts w:cstheme="minorHAnsi"/>
          <w:sz w:val="24"/>
          <w:szCs w:val="24"/>
        </w:rPr>
        <w:t xml:space="preserve"> in each of the 3 QuantiFERON-CMV tubes (nil, mitogen, CMV). </w:t>
      </w:r>
      <w:r w:rsidR="006560FB">
        <w:rPr>
          <w:rFonts w:cstheme="minorHAnsi"/>
          <w:sz w:val="24"/>
          <w:szCs w:val="24"/>
        </w:rPr>
        <w:t xml:space="preserve">IFN-g gates are set on CD4+ and CD8+ cells in each sample and the % refers to the % of cells quantified by the flow cytometer in each gate. </w:t>
      </w:r>
    </w:p>
    <w:p w14:paraId="4606FC30" w14:textId="0C8161E4" w:rsidR="00123859" w:rsidRPr="00927D15" w:rsidRDefault="00123859" w:rsidP="00B6281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Column Z is the interpretation of </w:t>
      </w:r>
      <w:r w:rsidR="00881129">
        <w:rPr>
          <w:rFonts w:cstheme="minorHAnsi"/>
          <w:sz w:val="24"/>
          <w:szCs w:val="24"/>
        </w:rPr>
        <w:t xml:space="preserve">the flow cytometry assay being positive or negative for </w:t>
      </w:r>
      <w:r>
        <w:rPr>
          <w:rFonts w:cstheme="minorHAnsi"/>
          <w:sz w:val="24"/>
          <w:szCs w:val="24"/>
        </w:rPr>
        <w:t xml:space="preserve">IFN-g </w:t>
      </w:r>
      <w:r w:rsidR="00881129">
        <w:rPr>
          <w:rFonts w:cstheme="minorHAnsi"/>
          <w:sz w:val="24"/>
          <w:szCs w:val="24"/>
        </w:rPr>
        <w:t>detection</w:t>
      </w:r>
      <w:r>
        <w:rPr>
          <w:rFonts w:cstheme="minorHAnsi"/>
          <w:sz w:val="24"/>
          <w:szCs w:val="24"/>
        </w:rPr>
        <w:t xml:space="preserve"> </w:t>
      </w:r>
      <w:r w:rsidR="00881129">
        <w:rPr>
          <w:rFonts w:cstheme="minorHAnsi"/>
          <w:sz w:val="24"/>
          <w:szCs w:val="24"/>
        </w:rPr>
        <w:t>by</w:t>
      </w:r>
      <w:r>
        <w:rPr>
          <w:rFonts w:cstheme="minorHAnsi"/>
          <w:sz w:val="24"/>
          <w:szCs w:val="24"/>
        </w:rPr>
        <w:t xml:space="preserve"> </w:t>
      </w:r>
      <w:r w:rsidR="00881129">
        <w:rPr>
          <w:rFonts w:cstheme="minorHAnsi"/>
          <w:sz w:val="24"/>
          <w:szCs w:val="24"/>
        </w:rPr>
        <w:t xml:space="preserve">CD8+ </w:t>
      </w:r>
      <w:r>
        <w:rPr>
          <w:rFonts w:cstheme="minorHAnsi"/>
          <w:sz w:val="24"/>
          <w:szCs w:val="24"/>
        </w:rPr>
        <w:t xml:space="preserve">cells in each sample </w:t>
      </w:r>
      <w:r w:rsidR="00881129">
        <w:rPr>
          <w:rFonts w:cstheme="minorHAnsi"/>
          <w:sz w:val="24"/>
          <w:szCs w:val="24"/>
        </w:rPr>
        <w:t xml:space="preserve"> </w:t>
      </w:r>
    </w:p>
    <w:p w14:paraId="318E9B61" w14:textId="09EFFF87" w:rsidR="00927D15" w:rsidRPr="00CD0145" w:rsidRDefault="00927D15" w:rsidP="00B6281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Column AA – AX </w:t>
      </w:r>
      <w:r w:rsidR="000509CC">
        <w:rPr>
          <w:rFonts w:cstheme="minorHAnsi"/>
          <w:sz w:val="24"/>
          <w:szCs w:val="24"/>
        </w:rPr>
        <w:t xml:space="preserve">look at the </w:t>
      </w:r>
      <w:r w:rsidR="00CD0145">
        <w:rPr>
          <w:rFonts w:cstheme="minorHAnsi"/>
          <w:sz w:val="24"/>
          <w:szCs w:val="24"/>
        </w:rPr>
        <w:t>phenotypes</w:t>
      </w:r>
      <w:r w:rsidR="000509CC">
        <w:rPr>
          <w:rFonts w:cstheme="minorHAnsi"/>
          <w:sz w:val="24"/>
          <w:szCs w:val="24"/>
        </w:rPr>
        <w:t xml:space="preserve"> of </w:t>
      </w:r>
      <w:r w:rsidR="004A6E9E">
        <w:rPr>
          <w:rFonts w:cstheme="minorHAnsi"/>
          <w:sz w:val="24"/>
          <w:szCs w:val="24"/>
        </w:rPr>
        <w:t xml:space="preserve">CD8+ and CD4+ cells. Population subsets are either: naïve, </w:t>
      </w:r>
      <w:r w:rsidR="0017141B">
        <w:rPr>
          <w:rFonts w:cstheme="minorHAnsi"/>
          <w:sz w:val="24"/>
          <w:szCs w:val="24"/>
        </w:rPr>
        <w:t>Tem (t effector memory), Tcm (T central memory) and Temra (T effector memory re-expressing CD45RA).</w:t>
      </w:r>
      <w:r w:rsidR="00982118">
        <w:rPr>
          <w:rFonts w:cstheme="minorHAnsi"/>
          <w:sz w:val="24"/>
          <w:szCs w:val="24"/>
        </w:rPr>
        <w:t xml:space="preserve"> </w:t>
      </w:r>
      <w:r w:rsidR="00747C12">
        <w:rPr>
          <w:rFonts w:cstheme="minorHAnsi"/>
          <w:sz w:val="24"/>
          <w:szCs w:val="24"/>
        </w:rPr>
        <w:t xml:space="preserve">%’s refer to the % of cells quantified by the flow cytometer in each subset per sample. </w:t>
      </w:r>
    </w:p>
    <w:p w14:paraId="27631A44" w14:textId="52D2C4CA" w:rsidR="00CD0145" w:rsidRPr="00162EFC" w:rsidRDefault="00CD0145" w:rsidP="00B6281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Column AY – BB look at the phenotype subsets of only </w:t>
      </w:r>
      <w:r w:rsidR="00BE3309">
        <w:rPr>
          <w:rFonts w:cstheme="minorHAnsi"/>
          <w:sz w:val="24"/>
          <w:szCs w:val="24"/>
        </w:rPr>
        <w:t xml:space="preserve">the IFN-g+ CD8+ T cells in each sample. N/A excludes data for samples which had no IFN-g+ CD8+ T cells. </w:t>
      </w:r>
    </w:p>
    <w:p w14:paraId="48A13BAD" w14:textId="0455A5CC" w:rsidR="00162EFC" w:rsidRPr="00782692" w:rsidRDefault="00162EFC" w:rsidP="00B6281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Column BC – BH looks at the expression of surface marker CX3CR1 across </w:t>
      </w:r>
      <w:r w:rsidR="003A0558">
        <w:rPr>
          <w:rFonts w:cstheme="minorHAnsi"/>
          <w:sz w:val="24"/>
          <w:szCs w:val="24"/>
        </w:rPr>
        <w:t xml:space="preserve">CD4+ and CD8+ T cells. </w:t>
      </w:r>
      <w:r w:rsidR="004E06AA">
        <w:rPr>
          <w:rFonts w:cstheme="minorHAnsi"/>
          <w:sz w:val="24"/>
          <w:szCs w:val="24"/>
        </w:rPr>
        <w:t xml:space="preserve">%’s refer to the </w:t>
      </w:r>
      <w:r w:rsidR="00782692">
        <w:rPr>
          <w:rFonts w:cstheme="minorHAnsi"/>
          <w:sz w:val="24"/>
          <w:szCs w:val="24"/>
        </w:rPr>
        <w:t xml:space="preserve">% of cells quantified by the flow cytometer in each CX3CR1 gate. </w:t>
      </w:r>
    </w:p>
    <w:p w14:paraId="239BE4FE" w14:textId="0FF1AC2F" w:rsidR="00782692" w:rsidRPr="00B62812" w:rsidRDefault="00782692" w:rsidP="00B62812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Column BI </w:t>
      </w:r>
      <w:r w:rsidR="00F02101">
        <w:rPr>
          <w:rFonts w:cstheme="minorHAnsi"/>
          <w:sz w:val="24"/>
          <w:szCs w:val="24"/>
        </w:rPr>
        <w:t>shows the expression of CX3CR1 in CD8+ IFN-g+ cells</w:t>
      </w:r>
      <w:r w:rsidR="0008404F">
        <w:rPr>
          <w:rFonts w:cstheme="minorHAnsi"/>
          <w:sz w:val="24"/>
          <w:szCs w:val="24"/>
        </w:rPr>
        <w:t xml:space="preserve">. </w:t>
      </w:r>
    </w:p>
    <w:p w14:paraId="0B708746" w14:textId="77777777" w:rsidR="00207969" w:rsidRPr="00207969" w:rsidRDefault="00207969">
      <w:pPr>
        <w:rPr>
          <w:rFonts w:cstheme="minorHAnsi"/>
          <w:sz w:val="28"/>
          <w:szCs w:val="28"/>
          <w:u w:val="single"/>
        </w:rPr>
      </w:pPr>
    </w:p>
    <w:sectPr w:rsidR="00207969" w:rsidRPr="00207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0EC3"/>
    <w:multiLevelType w:val="hybridMultilevel"/>
    <w:tmpl w:val="0316A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24DF4"/>
    <w:multiLevelType w:val="hybridMultilevel"/>
    <w:tmpl w:val="79FC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6025">
    <w:abstractNumId w:val="1"/>
  </w:num>
  <w:num w:numId="2" w16cid:durableId="102644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69"/>
    <w:rsid w:val="000509CC"/>
    <w:rsid w:val="000531FB"/>
    <w:rsid w:val="000555CD"/>
    <w:rsid w:val="0008404F"/>
    <w:rsid w:val="000B3C55"/>
    <w:rsid w:val="000E5D61"/>
    <w:rsid w:val="001132B8"/>
    <w:rsid w:val="00123859"/>
    <w:rsid w:val="00153BAB"/>
    <w:rsid w:val="00160AE3"/>
    <w:rsid w:val="00162EFC"/>
    <w:rsid w:val="0017141B"/>
    <w:rsid w:val="00181999"/>
    <w:rsid w:val="00207969"/>
    <w:rsid w:val="002161DC"/>
    <w:rsid w:val="002469A9"/>
    <w:rsid w:val="00257F9E"/>
    <w:rsid w:val="00260BBA"/>
    <w:rsid w:val="002717C3"/>
    <w:rsid w:val="002A3A92"/>
    <w:rsid w:val="002F1189"/>
    <w:rsid w:val="003A0558"/>
    <w:rsid w:val="00412B75"/>
    <w:rsid w:val="00454257"/>
    <w:rsid w:val="004A6E9E"/>
    <w:rsid w:val="004B0ECE"/>
    <w:rsid w:val="004E06AA"/>
    <w:rsid w:val="004E09BA"/>
    <w:rsid w:val="004F2582"/>
    <w:rsid w:val="0054472F"/>
    <w:rsid w:val="005C1819"/>
    <w:rsid w:val="005C4465"/>
    <w:rsid w:val="005E194E"/>
    <w:rsid w:val="006560FB"/>
    <w:rsid w:val="0067380B"/>
    <w:rsid w:val="0068065F"/>
    <w:rsid w:val="006A024D"/>
    <w:rsid w:val="006B3480"/>
    <w:rsid w:val="0073318E"/>
    <w:rsid w:val="007437BD"/>
    <w:rsid w:val="00747C12"/>
    <w:rsid w:val="00782692"/>
    <w:rsid w:val="008559FA"/>
    <w:rsid w:val="00856379"/>
    <w:rsid w:val="00881129"/>
    <w:rsid w:val="008B5CDA"/>
    <w:rsid w:val="00925CC6"/>
    <w:rsid w:val="00927D15"/>
    <w:rsid w:val="0093352D"/>
    <w:rsid w:val="00982118"/>
    <w:rsid w:val="00A55DA0"/>
    <w:rsid w:val="00B17C91"/>
    <w:rsid w:val="00B429A0"/>
    <w:rsid w:val="00B62812"/>
    <w:rsid w:val="00BE3309"/>
    <w:rsid w:val="00BE4D9C"/>
    <w:rsid w:val="00CA3416"/>
    <w:rsid w:val="00CB01CC"/>
    <w:rsid w:val="00CD0145"/>
    <w:rsid w:val="00CE39EE"/>
    <w:rsid w:val="00E46589"/>
    <w:rsid w:val="00E47DC6"/>
    <w:rsid w:val="00F02101"/>
    <w:rsid w:val="00F6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1722A"/>
  <w15:chartTrackingRefBased/>
  <w15:docId w15:val="{83B0C1AF-6A20-4720-A1C3-906DC59B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Willis</dc:creator>
  <cp:keywords/>
  <dc:description/>
  <cp:lastModifiedBy>Sophie Willis</cp:lastModifiedBy>
  <cp:revision>2</cp:revision>
  <dcterms:created xsi:type="dcterms:W3CDTF">2023-11-21T13:24:00Z</dcterms:created>
  <dcterms:modified xsi:type="dcterms:W3CDTF">2023-11-21T13:24:00Z</dcterms:modified>
</cp:coreProperties>
</file>